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710"/>
        <w:gridCol w:w="7470"/>
        <w:gridCol w:w="1980"/>
      </w:tblGrid>
      <w:tr w:rsidR="00BB56AE" w:rsidRPr="00947B82" w14:paraId="3E66FE57" w14:textId="77777777" w:rsidTr="00E60131">
        <w:trPr>
          <w:trHeight w:val="1880"/>
        </w:trPr>
        <w:tc>
          <w:tcPr>
            <w:tcW w:w="1710" w:type="dxa"/>
            <w:shd w:val="clear" w:color="auto" w:fill="auto"/>
          </w:tcPr>
          <w:p w14:paraId="41C49144" w14:textId="77777777" w:rsidR="00BB56AE" w:rsidRPr="00947B82" w:rsidRDefault="00BB56AE" w:rsidP="00E60131">
            <w:pPr>
              <w:suppressAutoHyphens/>
              <w:rPr>
                <w:rFonts w:asciiTheme="minorHAnsi" w:hAnsiTheme="minorHAnsi" w:cs="CG Times"/>
                <w:sz w:val="22"/>
                <w:lang w:eastAsia="ar-SA"/>
              </w:rPr>
            </w:pPr>
          </w:p>
        </w:tc>
        <w:tc>
          <w:tcPr>
            <w:tcW w:w="7470" w:type="dxa"/>
            <w:shd w:val="clear" w:color="auto" w:fill="auto"/>
            <w:vAlign w:val="center"/>
          </w:tcPr>
          <w:p w14:paraId="2D05A290" w14:textId="77777777" w:rsidR="00BB56AE" w:rsidRPr="00947B82" w:rsidRDefault="00BB56AE" w:rsidP="00E60131">
            <w:pPr>
              <w:suppressAutoHyphens/>
              <w:ind w:left="-198" w:right="-288"/>
              <w:jc w:val="center"/>
              <w:rPr>
                <w:rFonts w:asciiTheme="minorHAnsi" w:hAnsiTheme="minorHAnsi" w:cs="Arial"/>
                <w:sz w:val="40"/>
                <w:szCs w:val="40"/>
                <w:lang w:eastAsia="ar-SA"/>
              </w:rPr>
            </w:pPr>
            <w:r w:rsidRPr="00947B82">
              <w:rPr>
                <w:rFonts w:asciiTheme="minorHAnsi" w:hAnsiTheme="minorHAnsi" w:cs="Arial"/>
                <w:sz w:val="40"/>
                <w:szCs w:val="40"/>
                <w:lang w:eastAsia="ar-SA"/>
              </w:rPr>
              <w:t>NOTICE OF RIGHTS</w:t>
            </w:r>
          </w:p>
          <w:p w14:paraId="4C3A4561" w14:textId="77777777" w:rsidR="00BB56AE" w:rsidRPr="00947B82" w:rsidRDefault="00BB56AE" w:rsidP="00E60131">
            <w:pPr>
              <w:suppressAutoHyphens/>
              <w:ind w:left="-198" w:right="-288"/>
              <w:jc w:val="center"/>
              <w:rPr>
                <w:rFonts w:asciiTheme="minorHAnsi" w:hAnsiTheme="minorHAnsi" w:cs="Arial"/>
                <w:sz w:val="28"/>
                <w:szCs w:val="28"/>
                <w:lang w:eastAsia="ar-SA"/>
              </w:rPr>
            </w:pPr>
          </w:p>
          <w:p w14:paraId="7284769F" w14:textId="77777777" w:rsidR="00BB56AE" w:rsidRPr="00947B82" w:rsidRDefault="00BB56AE" w:rsidP="00E60131">
            <w:pPr>
              <w:suppressAutoHyphens/>
              <w:ind w:left="-198" w:right="-288"/>
              <w:jc w:val="center"/>
              <w:rPr>
                <w:rFonts w:asciiTheme="minorHAnsi" w:hAnsiTheme="minorHAnsi" w:cs="Arial"/>
                <w:sz w:val="28"/>
                <w:szCs w:val="28"/>
                <w:lang w:eastAsia="ar-SA"/>
              </w:rPr>
            </w:pPr>
            <w:r w:rsidRPr="00947B82">
              <w:rPr>
                <w:rFonts w:asciiTheme="minorHAnsi" w:hAnsiTheme="minorHAnsi" w:cs="Arial"/>
                <w:sz w:val="28"/>
                <w:szCs w:val="28"/>
                <w:lang w:eastAsia="ar-SA"/>
              </w:rPr>
              <w:t>Northwest Florida Water Management District</w:t>
            </w:r>
          </w:p>
          <w:p w14:paraId="5EC7B08A" w14:textId="77777777" w:rsidR="00BB56AE" w:rsidRPr="00947B82" w:rsidRDefault="00BB56AE" w:rsidP="00E60131">
            <w:pPr>
              <w:suppressAutoHyphens/>
              <w:ind w:left="-198" w:right="-288"/>
              <w:jc w:val="center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ar-SA"/>
              </w:rPr>
              <w:t>81</w:t>
            </w:r>
            <w:r w:rsidRPr="00947B82">
              <w:rPr>
                <w:rFonts w:asciiTheme="minorHAnsi" w:hAnsiTheme="minorHAnsi" w:cs="Arial"/>
                <w:sz w:val="22"/>
                <w:szCs w:val="22"/>
                <w:lang w:eastAsia="ar-SA"/>
              </w:rPr>
              <w:t xml:space="preserve"> Water Management Drive, Havana, FL 32333-4712</w:t>
            </w:r>
          </w:p>
          <w:p w14:paraId="2DCC84DC" w14:textId="77777777" w:rsidR="00BB56AE" w:rsidRPr="00947B82" w:rsidRDefault="00BB56AE" w:rsidP="00E60131">
            <w:pPr>
              <w:widowControl w:val="0"/>
              <w:tabs>
                <w:tab w:val="left" w:pos="9630"/>
                <w:tab w:val="left" w:pos="10440"/>
              </w:tabs>
              <w:autoSpaceDE w:val="0"/>
              <w:autoSpaceDN w:val="0"/>
              <w:adjustRightInd w:val="0"/>
              <w:ind w:left="-198" w:right="-28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47B82">
              <w:rPr>
                <w:rFonts w:asciiTheme="minorHAnsi" w:hAnsiTheme="minorHAnsi" w:cs="Arial"/>
                <w:sz w:val="22"/>
                <w:szCs w:val="22"/>
              </w:rPr>
              <w:t>(850) 539-5999  Fax (850) 539-2693</w:t>
            </w:r>
          </w:p>
          <w:p w14:paraId="1A11C6E3" w14:textId="77777777" w:rsidR="00BB56AE" w:rsidRPr="00947B82" w:rsidRDefault="00BB56AE" w:rsidP="00E60131">
            <w:pPr>
              <w:suppressAutoHyphens/>
              <w:jc w:val="center"/>
              <w:rPr>
                <w:rFonts w:asciiTheme="minorHAnsi" w:hAnsiTheme="minorHAnsi" w:cs="Arial"/>
                <w:sz w:val="32"/>
                <w:szCs w:val="32"/>
                <w:lang w:eastAsia="ar-SA"/>
              </w:rPr>
            </w:pPr>
            <w:hyperlink r:id="rId10" w:history="1">
              <w:proofErr w:type="spellStart"/>
              <w:r w:rsidRPr="00865211">
                <w:rPr>
                  <w:rStyle w:val="Hyperlink"/>
                  <w:rFonts w:asciiTheme="minorHAnsi" w:hAnsiTheme="minorHAnsi" w:cs="Arial"/>
                  <w:sz w:val="22"/>
                  <w:szCs w:val="22"/>
                  <w:lang w:eastAsia="ar-SA"/>
                </w:rPr>
                <w:t>www.nwfwater.com</w:t>
              </w:r>
              <w:proofErr w:type="spellEnd"/>
            </w:hyperlink>
            <w: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  <w:lang w:eastAsia="ar-SA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3707B993" w14:textId="77777777" w:rsidR="00BB56AE" w:rsidRPr="00947B82" w:rsidRDefault="00BB56AE" w:rsidP="00E60131">
            <w:pPr>
              <w:suppressAutoHyphens/>
              <w:jc w:val="right"/>
              <w:rPr>
                <w:rFonts w:asciiTheme="minorHAnsi" w:hAnsiTheme="minorHAnsi" w:cs="CG Times"/>
                <w:sz w:val="22"/>
                <w:lang w:eastAsia="ar-SA"/>
              </w:rPr>
            </w:pPr>
          </w:p>
        </w:tc>
      </w:tr>
    </w:tbl>
    <w:p w14:paraId="10382374" w14:textId="77777777" w:rsidR="00BB56AE" w:rsidRPr="00947B82" w:rsidRDefault="00BB56AE" w:rsidP="00BB56AE">
      <w:pPr>
        <w:suppressAutoHyphens/>
        <w:rPr>
          <w:rFonts w:asciiTheme="minorHAnsi" w:hAnsiTheme="minorHAnsi" w:cs="CG Times"/>
          <w:sz w:val="22"/>
          <w:lang w:eastAsia="ar-SA"/>
        </w:rPr>
      </w:pPr>
    </w:p>
    <w:p w14:paraId="610AB860" w14:textId="77777777" w:rsidR="00185250" w:rsidRPr="00E43CF9" w:rsidRDefault="00185250" w:rsidP="00185250">
      <w:pPr>
        <w:suppressAutoHyphens/>
        <w:jc w:val="center"/>
        <w:rPr>
          <w:rFonts w:asciiTheme="minorHAnsi" w:hAnsiTheme="minorHAnsi" w:cs="CG Times"/>
          <w:sz w:val="24"/>
          <w:szCs w:val="24"/>
          <w:lang w:eastAsia="ar-SA"/>
        </w:rPr>
      </w:pPr>
      <w:r>
        <w:rPr>
          <w:rFonts w:asciiTheme="minorHAnsi" w:hAnsiTheme="minorHAnsi" w:cs="CG Times"/>
          <w:sz w:val="24"/>
          <w:szCs w:val="24"/>
          <w:lang w:eastAsia="ar-SA"/>
        </w:rPr>
        <w:t>January 21, 2025 Posted on District Website</w:t>
      </w:r>
    </w:p>
    <w:p w14:paraId="54B4D66E" w14:textId="78D974B4" w:rsidR="00BB56AE" w:rsidRDefault="00BB56AE" w:rsidP="00BB56AE">
      <w:pPr>
        <w:suppressAutoHyphens/>
        <w:jc w:val="center"/>
        <w:rPr>
          <w:rFonts w:asciiTheme="minorHAnsi" w:hAnsiTheme="minorHAnsi" w:cs="CG Times"/>
          <w:sz w:val="24"/>
          <w:szCs w:val="24"/>
          <w:lang w:eastAsia="ar-SA"/>
        </w:rPr>
      </w:pPr>
      <w:r w:rsidRPr="00185250">
        <w:rPr>
          <w:rFonts w:asciiTheme="minorHAnsi" w:hAnsiTheme="minorHAnsi" w:cs="CG Times"/>
          <w:sz w:val="24"/>
          <w:szCs w:val="24"/>
          <w:lang w:eastAsia="ar-SA"/>
        </w:rPr>
        <w:t>January 10, 2025</w:t>
      </w:r>
      <w:r w:rsidR="00185250" w:rsidRPr="00185250">
        <w:rPr>
          <w:rFonts w:asciiTheme="minorHAnsi" w:hAnsiTheme="minorHAnsi" w:cs="CG Times"/>
          <w:sz w:val="24"/>
          <w:szCs w:val="24"/>
          <w:lang w:eastAsia="ar-SA"/>
        </w:rPr>
        <w:t xml:space="preserve"> Posted</w:t>
      </w:r>
      <w:r w:rsidR="00185250">
        <w:rPr>
          <w:rFonts w:asciiTheme="minorHAnsi" w:hAnsiTheme="minorHAnsi" w:cs="CG Times"/>
          <w:sz w:val="24"/>
          <w:szCs w:val="24"/>
          <w:lang w:eastAsia="ar-SA"/>
        </w:rPr>
        <w:t xml:space="preserve"> in Florida Administrative Register</w:t>
      </w:r>
    </w:p>
    <w:p w14:paraId="38932A21" w14:textId="77777777" w:rsidR="00BB56AE" w:rsidRPr="00947B82" w:rsidRDefault="00BB56AE" w:rsidP="00BB56AE">
      <w:pPr>
        <w:suppressAutoHyphens/>
        <w:rPr>
          <w:rFonts w:asciiTheme="minorHAnsi" w:hAnsiTheme="minorHAnsi" w:cs="CG Times"/>
          <w:sz w:val="22"/>
          <w:lang w:eastAsia="ar-SA"/>
        </w:rPr>
      </w:pPr>
    </w:p>
    <w:p w14:paraId="00C40A9C" w14:textId="77777777" w:rsidR="00BB56AE" w:rsidRPr="00947B82" w:rsidRDefault="00BB56AE" w:rsidP="00BB56AE">
      <w:pPr>
        <w:suppressAutoHyphens/>
        <w:jc w:val="both"/>
        <w:rPr>
          <w:rFonts w:asciiTheme="minorHAnsi" w:hAnsiTheme="minorHAnsi" w:cs="CG Times"/>
          <w:sz w:val="28"/>
          <w:szCs w:val="28"/>
          <w:u w:val="single"/>
          <w:lang w:eastAsia="ar-SA"/>
        </w:rPr>
      </w:pPr>
      <w:r w:rsidRPr="00947B82">
        <w:rPr>
          <w:rFonts w:asciiTheme="minorHAnsi" w:hAnsiTheme="minorHAnsi" w:cs="CG Times"/>
          <w:b/>
          <w:i/>
          <w:sz w:val="28"/>
          <w:szCs w:val="28"/>
          <w:lang w:eastAsia="ar-SA"/>
        </w:rPr>
        <w:t xml:space="preserve">The following information addresses procedures to be followed if you desire an administrative hearing or other review of agency action.  </w:t>
      </w:r>
    </w:p>
    <w:p w14:paraId="7BD7B53F" w14:textId="77777777" w:rsidR="00BB56AE" w:rsidRDefault="00BB56AE" w:rsidP="00BB56AE">
      <w:pPr>
        <w:suppressAutoHyphens/>
        <w:jc w:val="both"/>
        <w:rPr>
          <w:rFonts w:asciiTheme="minorHAnsi" w:hAnsiTheme="minorHAnsi" w:cs="CG Times"/>
          <w:sz w:val="28"/>
          <w:u w:val="single"/>
          <w:lang w:eastAsia="ar-SA"/>
        </w:rPr>
      </w:pPr>
    </w:p>
    <w:p w14:paraId="1D512308" w14:textId="4D2C743F" w:rsidR="00BB56AE" w:rsidRPr="0057359C" w:rsidRDefault="00BB56AE" w:rsidP="00BB56AE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57359C">
        <w:rPr>
          <w:rFonts w:asciiTheme="minorHAnsi" w:hAnsiTheme="minorHAnsi" w:cstheme="minorHAnsi"/>
          <w:sz w:val="24"/>
          <w:szCs w:val="24"/>
          <w:lang w:eastAsia="ar-SA"/>
        </w:rPr>
        <w:t xml:space="preserve">In its </w:t>
      </w:r>
      <w:r>
        <w:rPr>
          <w:rFonts w:asciiTheme="minorHAnsi" w:hAnsiTheme="minorHAnsi" w:cstheme="minorHAnsi"/>
          <w:sz w:val="24"/>
          <w:szCs w:val="24"/>
          <w:lang w:eastAsia="ar-SA"/>
        </w:rPr>
        <w:t>January 9, 2025</w:t>
      </w:r>
      <w:r w:rsidRPr="0057359C">
        <w:rPr>
          <w:rFonts w:asciiTheme="minorHAnsi" w:hAnsiTheme="minorHAnsi" w:cstheme="minorHAnsi"/>
          <w:sz w:val="24"/>
          <w:szCs w:val="24"/>
          <w:lang w:eastAsia="ar-SA"/>
        </w:rPr>
        <w:t xml:space="preserve"> regular meeting, the Governing Board of the Northwest Florida Water Management District </w:t>
      </w:r>
      <w:r>
        <w:rPr>
          <w:rFonts w:asciiTheme="minorHAnsi" w:hAnsiTheme="minorHAnsi" w:cstheme="minorHAnsi"/>
          <w:sz w:val="24"/>
          <w:szCs w:val="24"/>
          <w:lang w:eastAsia="ar-SA"/>
        </w:rPr>
        <w:t>approved the Region II Regional Water Supply Plan (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RWSP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), </w:t>
      </w:r>
      <w:r w:rsidRPr="0057359C">
        <w:rPr>
          <w:rFonts w:asciiTheme="minorHAnsi" w:hAnsiTheme="minorHAnsi" w:cstheme="minorHAnsi"/>
          <w:sz w:val="24"/>
          <w:szCs w:val="24"/>
          <w:lang w:eastAsia="ar-SA"/>
        </w:rPr>
        <w:t xml:space="preserve">pursuant to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57359C">
        <w:rPr>
          <w:rFonts w:asciiTheme="minorHAnsi" w:hAnsiTheme="minorHAnsi" w:cstheme="minorHAnsi"/>
          <w:sz w:val="24"/>
          <w:szCs w:val="24"/>
        </w:rPr>
        <w:t>ection 373.</w:t>
      </w:r>
      <w:r>
        <w:rPr>
          <w:rFonts w:asciiTheme="minorHAnsi" w:hAnsiTheme="minorHAnsi" w:cstheme="minorHAnsi"/>
          <w:sz w:val="24"/>
          <w:szCs w:val="24"/>
        </w:rPr>
        <w:t>709</w:t>
      </w:r>
      <w:r w:rsidRPr="0057359C">
        <w:rPr>
          <w:rFonts w:asciiTheme="minorHAnsi" w:hAnsiTheme="minorHAnsi" w:cstheme="minorHAnsi"/>
          <w:sz w:val="24"/>
          <w:szCs w:val="24"/>
        </w:rPr>
        <w:t>, Florida Statutes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</w:rPr>
        <w:t>F.S</w:t>
      </w:r>
      <w:proofErr w:type="spellEnd"/>
      <w:r>
        <w:rPr>
          <w:rFonts w:asciiTheme="minorHAnsi" w:hAnsiTheme="minorHAnsi" w:cstheme="minorHAnsi"/>
          <w:sz w:val="24"/>
          <w:szCs w:val="24"/>
        </w:rPr>
        <w:t>.)</w:t>
      </w:r>
      <w:r>
        <w:rPr>
          <w:rFonts w:asciiTheme="minorHAnsi" w:hAnsiTheme="minorHAnsi" w:cstheme="minorHAnsi"/>
          <w:sz w:val="24"/>
          <w:szCs w:val="24"/>
          <w:lang w:eastAsia="ar-SA"/>
        </w:rPr>
        <w:t>.</w:t>
      </w:r>
      <w:r w:rsidRPr="005735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This plan covers Okaloosa, Santa Rosa, and Walton counties. </w:t>
      </w:r>
    </w:p>
    <w:p w14:paraId="4CB9B38F" w14:textId="77777777" w:rsidR="00BB56AE" w:rsidRPr="00947B82" w:rsidRDefault="00BB56AE" w:rsidP="00BB56AE">
      <w:pPr>
        <w:suppressAutoHyphens/>
        <w:jc w:val="both"/>
        <w:rPr>
          <w:rFonts w:asciiTheme="minorHAnsi" w:hAnsiTheme="minorHAnsi" w:cs="CG Times"/>
          <w:sz w:val="28"/>
          <w:u w:val="single"/>
          <w:lang w:eastAsia="ar-SA"/>
        </w:rPr>
      </w:pPr>
    </w:p>
    <w:p w14:paraId="0B2A63FF" w14:textId="77777777" w:rsidR="00BB56AE" w:rsidRPr="00947B82" w:rsidRDefault="00BB56AE" w:rsidP="00BB56AE">
      <w:pPr>
        <w:suppressAutoHyphens/>
        <w:jc w:val="both"/>
        <w:rPr>
          <w:rFonts w:asciiTheme="minorHAnsi" w:hAnsiTheme="minorHAnsi" w:cs="CG Times"/>
          <w:sz w:val="28"/>
          <w:lang w:eastAsia="ar-SA"/>
        </w:rPr>
      </w:pPr>
      <w:r>
        <w:rPr>
          <w:rFonts w:asciiTheme="minorHAnsi" w:hAnsiTheme="minorHAnsi" w:cs="CG Times"/>
          <w:sz w:val="28"/>
          <w:u w:val="single"/>
          <w:lang w:eastAsia="ar-SA"/>
        </w:rPr>
        <w:t>APPROVAL OF THE REGION II REGIONAL WATER SUPPLY PLAN</w:t>
      </w:r>
    </w:p>
    <w:p w14:paraId="744AE874" w14:textId="77777777" w:rsidR="00BB56AE" w:rsidRPr="00947B82" w:rsidRDefault="00BB56AE" w:rsidP="00BB56AE">
      <w:pPr>
        <w:suppressAutoHyphens/>
        <w:jc w:val="both"/>
        <w:rPr>
          <w:rFonts w:asciiTheme="minorHAnsi" w:hAnsiTheme="minorHAnsi" w:cs="CG Times"/>
          <w:sz w:val="24"/>
          <w:lang w:eastAsia="ar-SA"/>
        </w:rPr>
      </w:pPr>
      <w:r w:rsidRPr="00947B82">
        <w:rPr>
          <w:rFonts w:asciiTheme="minorHAnsi" w:hAnsiTheme="minorHAnsi" w:cs="CG Times"/>
          <w:sz w:val="24"/>
          <w:lang w:eastAsia="ar-SA"/>
        </w:rPr>
        <w:t xml:space="preserve">Any person whose substantial interests are or may be affected by the action described may petition for an administrative hearing in accordance with the requirements of </w:t>
      </w:r>
      <w:r>
        <w:rPr>
          <w:rFonts w:asciiTheme="minorHAnsi" w:hAnsiTheme="minorHAnsi" w:cs="CG Times"/>
          <w:sz w:val="24"/>
          <w:lang w:eastAsia="ar-SA"/>
        </w:rPr>
        <w:t>S</w:t>
      </w:r>
      <w:r w:rsidRPr="00947B82">
        <w:rPr>
          <w:rFonts w:asciiTheme="minorHAnsi" w:hAnsiTheme="minorHAnsi" w:cs="CG Times"/>
          <w:sz w:val="24"/>
          <w:lang w:eastAsia="ar-SA"/>
        </w:rPr>
        <w:t xml:space="preserve">ection </w:t>
      </w:r>
      <w:hyperlink r:id="rId11" w:history="1">
        <w:r w:rsidRPr="00EE4E22">
          <w:rPr>
            <w:rFonts w:asciiTheme="minorHAnsi" w:hAnsiTheme="minorHAnsi" w:cs="CG Times"/>
            <w:color w:val="0000FF"/>
            <w:sz w:val="24"/>
            <w:u w:val="single"/>
            <w:lang w:eastAsia="ar-SA"/>
          </w:rPr>
          <w:t>28-106.201</w:t>
        </w:r>
      </w:hyperlink>
      <w:r w:rsidRPr="00947B82">
        <w:rPr>
          <w:rFonts w:asciiTheme="minorHAnsi" w:hAnsiTheme="minorHAnsi" w:cs="CG Times"/>
          <w:sz w:val="24"/>
          <w:lang w:eastAsia="ar-SA"/>
        </w:rPr>
        <w:t xml:space="preserve">, Florida Administrative Code, or may choose to pursue mediation as an alternative remedy under </w:t>
      </w:r>
      <w:r>
        <w:rPr>
          <w:rFonts w:asciiTheme="minorHAnsi" w:hAnsiTheme="minorHAnsi" w:cs="CG Times"/>
          <w:sz w:val="24"/>
          <w:lang w:eastAsia="ar-SA"/>
        </w:rPr>
        <w:t>S</w:t>
      </w:r>
      <w:r w:rsidRPr="00947B82">
        <w:rPr>
          <w:rFonts w:asciiTheme="minorHAnsi" w:hAnsiTheme="minorHAnsi" w:cs="CG Times"/>
          <w:sz w:val="24"/>
          <w:lang w:eastAsia="ar-SA"/>
        </w:rPr>
        <w:t xml:space="preserve">ection </w:t>
      </w:r>
      <w:hyperlink r:id="rId12" w:history="1">
        <w:r w:rsidRPr="00BC4D3A">
          <w:rPr>
            <w:rStyle w:val="Hyperlink"/>
            <w:rFonts w:asciiTheme="minorHAnsi" w:hAnsiTheme="minorHAnsi" w:cs="CG Times"/>
            <w:sz w:val="24"/>
            <w:lang w:eastAsia="ar-SA"/>
          </w:rPr>
          <w:t>120.573</w:t>
        </w:r>
      </w:hyperlink>
      <w:r w:rsidRPr="00947B82">
        <w:rPr>
          <w:rFonts w:asciiTheme="minorHAnsi" w:hAnsiTheme="minorHAnsi" w:cs="CG Times"/>
          <w:sz w:val="24"/>
          <w:lang w:eastAsia="ar-SA"/>
        </w:rPr>
        <w:t xml:space="preserve">, </w:t>
      </w:r>
      <w:proofErr w:type="spellStart"/>
      <w:r>
        <w:rPr>
          <w:rFonts w:asciiTheme="minorHAnsi" w:hAnsiTheme="minorHAnsi" w:cs="CG Times"/>
          <w:sz w:val="24"/>
          <w:lang w:eastAsia="ar-SA"/>
        </w:rPr>
        <w:t>F.S</w:t>
      </w:r>
      <w:proofErr w:type="spellEnd"/>
      <w:r>
        <w:rPr>
          <w:rFonts w:asciiTheme="minorHAnsi" w:hAnsiTheme="minorHAnsi" w:cs="CG Times"/>
          <w:sz w:val="24"/>
          <w:lang w:eastAsia="ar-SA"/>
        </w:rPr>
        <w:t>.</w:t>
      </w:r>
      <w:r w:rsidRPr="00947B82">
        <w:rPr>
          <w:rFonts w:asciiTheme="minorHAnsi" w:hAnsiTheme="minorHAnsi" w:cs="CG Times"/>
          <w:sz w:val="24"/>
          <w:lang w:eastAsia="ar-SA"/>
        </w:rPr>
        <w:t>, before the d</w:t>
      </w:r>
      <w:r>
        <w:rPr>
          <w:rFonts w:asciiTheme="minorHAnsi" w:hAnsiTheme="minorHAnsi" w:cs="CG Times"/>
          <w:sz w:val="24"/>
          <w:lang w:eastAsia="ar-SA"/>
        </w:rPr>
        <w:t xml:space="preserve">eadline for filing a petition. </w:t>
      </w:r>
      <w:r w:rsidRPr="00947B82">
        <w:rPr>
          <w:rFonts w:asciiTheme="minorHAnsi" w:hAnsiTheme="minorHAnsi" w:cs="CG Times"/>
          <w:sz w:val="24"/>
          <w:lang w:eastAsia="ar-SA"/>
        </w:rPr>
        <w:t>Pursuit of mediation will not adversely affect the right to administrative proceedings in the event mediation do</w:t>
      </w:r>
      <w:r>
        <w:rPr>
          <w:rFonts w:asciiTheme="minorHAnsi" w:hAnsiTheme="minorHAnsi" w:cs="CG Times"/>
          <w:sz w:val="24"/>
          <w:lang w:eastAsia="ar-SA"/>
        </w:rPr>
        <w:t xml:space="preserve">es not result in a settlement. </w:t>
      </w:r>
      <w:r w:rsidRPr="00947B82">
        <w:rPr>
          <w:rFonts w:asciiTheme="minorHAnsi" w:hAnsiTheme="minorHAnsi" w:cs="CG Times"/>
          <w:sz w:val="24"/>
          <w:lang w:eastAsia="ar-SA"/>
        </w:rPr>
        <w:t xml:space="preserve">Petitions for an administrative hearing must be filed with the Agency Clerk of the </w:t>
      </w:r>
      <w:r w:rsidRPr="002F0432">
        <w:rPr>
          <w:rFonts w:asciiTheme="minorHAnsi" w:hAnsiTheme="minorHAnsi" w:cs="CG Times"/>
          <w:sz w:val="24"/>
          <w:lang w:eastAsia="ar-SA"/>
        </w:rPr>
        <w:t>Northwest Florida Water Management District, 81 Water Management Drive, Havana, Florida 32333-4712</w:t>
      </w:r>
      <w:r>
        <w:rPr>
          <w:rFonts w:asciiTheme="minorHAnsi" w:hAnsiTheme="minorHAnsi" w:cs="CG Times"/>
          <w:sz w:val="24"/>
          <w:lang w:eastAsia="ar-SA"/>
        </w:rPr>
        <w:t>,</w:t>
      </w:r>
      <w:r w:rsidRPr="002F0432">
        <w:rPr>
          <w:rFonts w:asciiTheme="minorHAnsi" w:hAnsiTheme="minorHAnsi" w:cs="CG Times"/>
          <w:sz w:val="24"/>
          <w:lang w:eastAsia="ar-SA"/>
        </w:rPr>
        <w:t xml:space="preserve"> </w:t>
      </w:r>
      <w:r w:rsidRPr="001361C6">
        <w:rPr>
          <w:rFonts w:asciiTheme="minorHAnsi" w:hAnsiTheme="minorHAnsi" w:cs="CG Times"/>
          <w:sz w:val="24"/>
          <w:lang w:eastAsia="ar-SA"/>
        </w:rPr>
        <w:t>by no later than 21 days after the publication date of this notice</w:t>
      </w:r>
      <w:r>
        <w:rPr>
          <w:rFonts w:asciiTheme="minorHAnsi" w:hAnsiTheme="minorHAnsi" w:cs="CG Times"/>
          <w:sz w:val="24"/>
          <w:lang w:eastAsia="ar-SA"/>
        </w:rPr>
        <w:t xml:space="preserve">. </w:t>
      </w:r>
      <w:r w:rsidRPr="00947B82">
        <w:rPr>
          <w:rFonts w:asciiTheme="minorHAnsi" w:hAnsiTheme="minorHAnsi" w:cs="CG Times"/>
          <w:sz w:val="24"/>
          <w:lang w:eastAsia="ar-SA"/>
        </w:rPr>
        <w:t>Failure to file a petition within this time period shall constitute a waiver of any rights such person may have to request an administrative determination (hearing) under section</w:t>
      </w:r>
      <w:r>
        <w:rPr>
          <w:rFonts w:asciiTheme="minorHAnsi" w:hAnsiTheme="minorHAnsi" w:cs="CG Times"/>
          <w:sz w:val="24"/>
          <w:lang w:eastAsia="ar-SA"/>
        </w:rPr>
        <w:t>s</w:t>
      </w:r>
      <w:r w:rsidRPr="00947B82">
        <w:rPr>
          <w:rFonts w:asciiTheme="minorHAnsi" w:hAnsiTheme="minorHAnsi" w:cs="CG Times"/>
          <w:sz w:val="24"/>
          <w:lang w:eastAsia="ar-SA"/>
        </w:rPr>
        <w:t xml:space="preserve"> </w:t>
      </w:r>
      <w:hyperlink r:id="rId13" w:history="1">
        <w:r w:rsidRPr="005C51D5">
          <w:rPr>
            <w:rStyle w:val="Hyperlink"/>
            <w:rFonts w:asciiTheme="minorHAnsi" w:hAnsiTheme="minorHAnsi" w:cs="CG Times"/>
            <w:sz w:val="24"/>
            <w:lang w:eastAsia="ar-SA"/>
          </w:rPr>
          <w:t>120.569</w:t>
        </w:r>
      </w:hyperlink>
      <w:r>
        <w:rPr>
          <w:rFonts w:asciiTheme="minorHAnsi" w:hAnsiTheme="minorHAnsi" w:cs="CG Times"/>
          <w:sz w:val="24"/>
          <w:lang w:eastAsia="ar-SA"/>
        </w:rPr>
        <w:t xml:space="preserve"> and </w:t>
      </w:r>
      <w:hyperlink r:id="rId14" w:history="1">
        <w:r w:rsidRPr="00CE3EFF">
          <w:rPr>
            <w:rStyle w:val="Hyperlink"/>
            <w:rFonts w:asciiTheme="minorHAnsi" w:hAnsiTheme="minorHAnsi" w:cs="CG Times"/>
            <w:sz w:val="24"/>
            <w:lang w:eastAsia="ar-SA"/>
          </w:rPr>
          <w:t>120.57</w:t>
        </w:r>
      </w:hyperlink>
      <w:r w:rsidRPr="00947B82">
        <w:rPr>
          <w:rFonts w:asciiTheme="minorHAnsi" w:hAnsiTheme="minorHAnsi" w:cs="CG Times"/>
          <w:sz w:val="24"/>
          <w:lang w:eastAsia="ar-SA"/>
        </w:rPr>
        <w:t>, F</w:t>
      </w:r>
      <w:r>
        <w:rPr>
          <w:rFonts w:asciiTheme="minorHAnsi" w:hAnsiTheme="minorHAnsi" w:cs="CG Times"/>
          <w:sz w:val="24"/>
          <w:lang w:eastAsia="ar-SA"/>
        </w:rPr>
        <w:t>.</w:t>
      </w:r>
      <w:r w:rsidRPr="00947B82">
        <w:rPr>
          <w:rFonts w:asciiTheme="minorHAnsi" w:hAnsiTheme="minorHAnsi" w:cs="CG Times"/>
          <w:sz w:val="24"/>
          <w:lang w:eastAsia="ar-SA"/>
        </w:rPr>
        <w:t xml:space="preserve"> S. Petitions which are not filed in accordance with the above provisions are subject to dismissal.</w:t>
      </w:r>
    </w:p>
    <w:p w14:paraId="78C49A88" w14:textId="77777777" w:rsidR="00BB56AE" w:rsidRPr="00947B82" w:rsidRDefault="00BB56AE" w:rsidP="00BB56AE">
      <w:pPr>
        <w:suppressAutoHyphens/>
        <w:jc w:val="both"/>
        <w:rPr>
          <w:rFonts w:asciiTheme="minorHAnsi" w:hAnsiTheme="minorHAnsi" w:cs="CG Times"/>
          <w:sz w:val="24"/>
          <w:lang w:eastAsia="ar-SA"/>
        </w:rPr>
      </w:pPr>
    </w:p>
    <w:p w14:paraId="29693EEE" w14:textId="77777777" w:rsidR="00BB56AE" w:rsidRPr="00947B82" w:rsidRDefault="00BB56AE" w:rsidP="00BB56AE">
      <w:pPr>
        <w:suppressAutoHyphens/>
        <w:jc w:val="both"/>
        <w:rPr>
          <w:rFonts w:asciiTheme="minorHAnsi" w:hAnsiTheme="minorHAnsi" w:cs="CG Times"/>
          <w:sz w:val="28"/>
          <w:lang w:eastAsia="ar-SA"/>
        </w:rPr>
      </w:pPr>
      <w:r w:rsidRPr="00947B82">
        <w:rPr>
          <w:rFonts w:asciiTheme="minorHAnsi" w:hAnsiTheme="minorHAnsi" w:cs="CG Times"/>
          <w:sz w:val="28"/>
          <w:u w:val="single"/>
          <w:lang w:eastAsia="ar-SA"/>
        </w:rPr>
        <w:t>DISTRICT COURT OF APPEAL</w:t>
      </w:r>
    </w:p>
    <w:p w14:paraId="459FFD1D" w14:textId="77777777" w:rsidR="00BB56AE" w:rsidRPr="00DA0504" w:rsidRDefault="00BB56AE" w:rsidP="00BB56AE">
      <w:pPr>
        <w:suppressAutoHyphens/>
        <w:jc w:val="both"/>
        <w:rPr>
          <w:rFonts w:ascii="Times New Roman" w:hAnsi="Times New Roman"/>
          <w:sz w:val="24"/>
        </w:rPr>
      </w:pPr>
      <w:r w:rsidRPr="00947B82">
        <w:rPr>
          <w:rFonts w:asciiTheme="minorHAnsi" w:hAnsiTheme="minorHAnsi" w:cs="CG Times"/>
          <w:sz w:val="24"/>
          <w:lang w:eastAsia="ar-SA"/>
        </w:rPr>
        <w:t xml:space="preserve">A party who is adversely affected by final agency action and who has exhausted available administrative remedies is entitled to judicial review in the District Court of Appeal pursuant to </w:t>
      </w:r>
      <w:r>
        <w:rPr>
          <w:rFonts w:asciiTheme="minorHAnsi" w:hAnsiTheme="minorHAnsi" w:cs="CG Times"/>
          <w:sz w:val="24"/>
          <w:lang w:eastAsia="ar-SA"/>
        </w:rPr>
        <w:t>S</w:t>
      </w:r>
      <w:r w:rsidRPr="00947B82">
        <w:rPr>
          <w:rFonts w:asciiTheme="minorHAnsi" w:hAnsiTheme="minorHAnsi" w:cs="CG Times"/>
          <w:sz w:val="24"/>
          <w:lang w:eastAsia="ar-SA"/>
        </w:rPr>
        <w:t xml:space="preserve">ection </w:t>
      </w:r>
      <w:hyperlink r:id="rId15" w:history="1">
        <w:r w:rsidRPr="0069048C">
          <w:rPr>
            <w:rStyle w:val="Hyperlink"/>
            <w:rFonts w:asciiTheme="minorHAnsi" w:hAnsiTheme="minorHAnsi" w:cs="CG Times"/>
            <w:sz w:val="24"/>
            <w:lang w:eastAsia="ar-SA"/>
          </w:rPr>
          <w:t>120.68</w:t>
        </w:r>
      </w:hyperlink>
      <w:r>
        <w:rPr>
          <w:rFonts w:asciiTheme="minorHAnsi" w:hAnsiTheme="minorHAnsi" w:cs="CG Times"/>
          <w:sz w:val="24"/>
          <w:lang w:eastAsia="ar-SA"/>
        </w:rPr>
        <w:t xml:space="preserve">, </w:t>
      </w:r>
      <w:proofErr w:type="spellStart"/>
      <w:r>
        <w:rPr>
          <w:rFonts w:asciiTheme="minorHAnsi" w:hAnsiTheme="minorHAnsi" w:cs="CG Times"/>
          <w:sz w:val="24"/>
          <w:lang w:eastAsia="ar-SA"/>
        </w:rPr>
        <w:t>F.S</w:t>
      </w:r>
      <w:proofErr w:type="spellEnd"/>
      <w:r>
        <w:rPr>
          <w:rFonts w:asciiTheme="minorHAnsi" w:hAnsiTheme="minorHAnsi" w:cs="CG Times"/>
          <w:sz w:val="24"/>
          <w:lang w:eastAsia="ar-SA"/>
        </w:rPr>
        <w:t xml:space="preserve">. </w:t>
      </w:r>
      <w:r w:rsidRPr="00947B82">
        <w:rPr>
          <w:rFonts w:asciiTheme="minorHAnsi" w:hAnsiTheme="minorHAnsi" w:cs="CG Times"/>
          <w:sz w:val="24"/>
          <w:lang w:eastAsia="ar-SA"/>
        </w:rPr>
        <w:t xml:space="preserve">Review under </w:t>
      </w:r>
      <w:r>
        <w:rPr>
          <w:rFonts w:asciiTheme="minorHAnsi" w:hAnsiTheme="minorHAnsi" w:cs="CG Times"/>
          <w:sz w:val="24"/>
          <w:lang w:eastAsia="ar-SA"/>
        </w:rPr>
        <w:t>S</w:t>
      </w:r>
      <w:r w:rsidRPr="00947B82">
        <w:rPr>
          <w:rFonts w:asciiTheme="minorHAnsi" w:hAnsiTheme="minorHAnsi" w:cs="CG Times"/>
          <w:sz w:val="24"/>
          <w:lang w:eastAsia="ar-SA"/>
        </w:rPr>
        <w:t xml:space="preserve">ection </w:t>
      </w:r>
      <w:r w:rsidRPr="002E3E21">
        <w:rPr>
          <w:rFonts w:asciiTheme="minorHAnsi" w:hAnsiTheme="minorHAnsi" w:cs="CG Times"/>
          <w:sz w:val="24"/>
          <w:lang w:eastAsia="ar-SA"/>
        </w:rPr>
        <w:t>120.68</w:t>
      </w:r>
      <w:r w:rsidRPr="00947B82">
        <w:rPr>
          <w:rFonts w:asciiTheme="minorHAnsi" w:hAnsiTheme="minorHAnsi" w:cs="CG Times"/>
          <w:sz w:val="24"/>
          <w:lang w:eastAsia="ar-SA"/>
        </w:rPr>
        <w:t xml:space="preserve">, </w:t>
      </w:r>
      <w:proofErr w:type="spellStart"/>
      <w:r>
        <w:rPr>
          <w:rFonts w:asciiTheme="minorHAnsi" w:hAnsiTheme="minorHAnsi" w:cs="CG Times"/>
          <w:sz w:val="24"/>
          <w:lang w:eastAsia="ar-SA"/>
        </w:rPr>
        <w:t>F.S</w:t>
      </w:r>
      <w:proofErr w:type="spellEnd"/>
      <w:r>
        <w:rPr>
          <w:rFonts w:asciiTheme="minorHAnsi" w:hAnsiTheme="minorHAnsi" w:cs="CG Times"/>
          <w:sz w:val="24"/>
          <w:lang w:eastAsia="ar-SA"/>
        </w:rPr>
        <w:t>.</w:t>
      </w:r>
      <w:r w:rsidRPr="00947B82">
        <w:rPr>
          <w:rFonts w:asciiTheme="minorHAnsi" w:hAnsiTheme="minorHAnsi" w:cs="CG Times"/>
          <w:sz w:val="24"/>
          <w:lang w:eastAsia="ar-SA"/>
        </w:rPr>
        <w:t xml:space="preserve">, is initiated by filing a Notice of Appeal in the appropriate District Court of Appeal in accordance with Florida Rule of Appellate Procedure </w:t>
      </w:r>
      <w:hyperlink r:id="rId16" w:history="1">
        <w:r w:rsidRPr="0069048C">
          <w:rPr>
            <w:rStyle w:val="Hyperlink"/>
            <w:rFonts w:asciiTheme="minorHAnsi" w:hAnsiTheme="minorHAnsi" w:cs="CG Times"/>
            <w:sz w:val="24"/>
            <w:lang w:eastAsia="ar-SA"/>
          </w:rPr>
          <w:t>9.110</w:t>
        </w:r>
      </w:hyperlink>
      <w:r w:rsidRPr="00947B82">
        <w:rPr>
          <w:rFonts w:asciiTheme="minorHAnsi" w:hAnsiTheme="minorHAnsi" w:cs="CG Times"/>
          <w:sz w:val="24"/>
          <w:lang w:eastAsia="ar-SA"/>
        </w:rPr>
        <w:t>.</w:t>
      </w:r>
    </w:p>
    <w:p w14:paraId="756BABAE" w14:textId="77777777" w:rsidR="00F1634A" w:rsidRPr="00F1634A" w:rsidRDefault="00F1634A" w:rsidP="00F1634A"/>
    <w:sectPr w:rsidR="00F1634A" w:rsidRPr="00F1634A" w:rsidSect="00355251">
      <w:footerReference w:type="default" r:id="rId17"/>
      <w:headerReference w:type="first" r:id="rId18"/>
      <w:footerReference w:type="first" r:id="rId19"/>
      <w:pgSz w:w="12240" w:h="15840" w:code="1"/>
      <w:pgMar w:top="1080" w:right="1296" w:bottom="288" w:left="1296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9C4BA" w14:textId="77777777" w:rsidR="00E900A5" w:rsidRDefault="00E900A5">
      <w:r>
        <w:separator/>
      </w:r>
    </w:p>
  </w:endnote>
  <w:endnote w:type="continuationSeparator" w:id="0">
    <w:p w14:paraId="5FA8FFD9" w14:textId="77777777" w:rsidR="00E900A5" w:rsidRDefault="00E9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CD117" w14:textId="77777777" w:rsidR="00244181" w:rsidRPr="00F74179" w:rsidRDefault="00244181" w:rsidP="00F74179">
    <w:pPr>
      <w:pStyle w:val="Footer"/>
    </w:pPr>
    <w:r w:rsidRPr="00F7417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7"/>
      <w:gridCol w:w="1927"/>
      <w:gridCol w:w="1928"/>
      <w:gridCol w:w="1928"/>
      <w:gridCol w:w="1928"/>
    </w:tblGrid>
    <w:tr w:rsidR="00355251" w14:paraId="62854E0E" w14:textId="77777777" w:rsidTr="00F1634A">
      <w:tc>
        <w:tcPr>
          <w:tcW w:w="1927" w:type="dxa"/>
          <w:vAlign w:val="center"/>
        </w:tcPr>
        <w:p w14:paraId="3800F2BF" w14:textId="77777777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</w:p>
      </w:tc>
      <w:tc>
        <w:tcPr>
          <w:tcW w:w="1927" w:type="dxa"/>
          <w:vAlign w:val="center"/>
        </w:tcPr>
        <w:p w14:paraId="176D6AF2" w14:textId="4176396A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GEORGE ROBERTS</w:t>
          </w:r>
        </w:p>
      </w:tc>
      <w:tc>
        <w:tcPr>
          <w:tcW w:w="1928" w:type="dxa"/>
          <w:vAlign w:val="center"/>
        </w:tcPr>
        <w:p w14:paraId="5BAC8C6C" w14:textId="542EA5A0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JERRY PATE</w:t>
          </w:r>
        </w:p>
      </w:tc>
      <w:tc>
        <w:tcPr>
          <w:tcW w:w="1928" w:type="dxa"/>
          <w:vAlign w:val="center"/>
        </w:tcPr>
        <w:p w14:paraId="0593E228" w14:textId="20728CFA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NICK PATRONIS</w:t>
          </w:r>
        </w:p>
      </w:tc>
      <w:tc>
        <w:tcPr>
          <w:tcW w:w="1928" w:type="dxa"/>
          <w:vAlign w:val="center"/>
        </w:tcPr>
        <w:p w14:paraId="1557C09F" w14:textId="77777777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</w:p>
      </w:tc>
    </w:tr>
    <w:tr w:rsidR="00355251" w14:paraId="73C9DB41" w14:textId="77777777" w:rsidTr="00F1634A">
      <w:tc>
        <w:tcPr>
          <w:tcW w:w="1927" w:type="dxa"/>
          <w:vAlign w:val="center"/>
        </w:tcPr>
        <w:p w14:paraId="2F105511" w14:textId="77777777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</w:p>
      </w:tc>
      <w:tc>
        <w:tcPr>
          <w:tcW w:w="1927" w:type="dxa"/>
          <w:vAlign w:val="center"/>
        </w:tcPr>
        <w:p w14:paraId="209C28D2" w14:textId="2DFB2375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Chair</w:t>
          </w:r>
        </w:p>
      </w:tc>
      <w:tc>
        <w:tcPr>
          <w:tcW w:w="1928" w:type="dxa"/>
          <w:vAlign w:val="center"/>
        </w:tcPr>
        <w:p w14:paraId="21D6CA3F" w14:textId="2D525BE2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Vice Chair</w:t>
          </w:r>
        </w:p>
      </w:tc>
      <w:tc>
        <w:tcPr>
          <w:tcW w:w="1928" w:type="dxa"/>
          <w:vAlign w:val="center"/>
        </w:tcPr>
        <w:p w14:paraId="48199114" w14:textId="16D17711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Secretary</w:t>
          </w:r>
        </w:p>
      </w:tc>
      <w:tc>
        <w:tcPr>
          <w:tcW w:w="1928" w:type="dxa"/>
          <w:vAlign w:val="center"/>
        </w:tcPr>
        <w:p w14:paraId="17DF7CF7" w14:textId="77777777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</w:p>
      </w:tc>
    </w:tr>
    <w:tr w:rsidR="00355251" w14:paraId="078183EC" w14:textId="77777777" w:rsidTr="00F1634A">
      <w:tc>
        <w:tcPr>
          <w:tcW w:w="1927" w:type="dxa"/>
          <w:vAlign w:val="center"/>
        </w:tcPr>
        <w:p w14:paraId="301CA3F6" w14:textId="77777777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</w:p>
      </w:tc>
      <w:tc>
        <w:tcPr>
          <w:tcW w:w="1927" w:type="dxa"/>
          <w:vAlign w:val="center"/>
        </w:tcPr>
        <w:p w14:paraId="55CAE0CB" w14:textId="7BCB2E94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Panama City</w:t>
          </w:r>
        </w:p>
      </w:tc>
      <w:tc>
        <w:tcPr>
          <w:tcW w:w="1928" w:type="dxa"/>
          <w:vAlign w:val="center"/>
        </w:tcPr>
        <w:p w14:paraId="631EB013" w14:textId="42A9C67C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Pensacola</w:t>
          </w:r>
        </w:p>
      </w:tc>
      <w:tc>
        <w:tcPr>
          <w:tcW w:w="1928" w:type="dxa"/>
          <w:vAlign w:val="center"/>
        </w:tcPr>
        <w:p w14:paraId="2B55AB0F" w14:textId="1FA24000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Panama City</w:t>
          </w:r>
        </w:p>
      </w:tc>
      <w:tc>
        <w:tcPr>
          <w:tcW w:w="1928" w:type="dxa"/>
          <w:vAlign w:val="center"/>
        </w:tcPr>
        <w:p w14:paraId="10903658" w14:textId="77777777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</w:p>
      </w:tc>
    </w:tr>
    <w:tr w:rsidR="00355251" w14:paraId="397A78FD" w14:textId="77777777" w:rsidTr="00F1634A">
      <w:tc>
        <w:tcPr>
          <w:tcW w:w="1927" w:type="dxa"/>
          <w:vAlign w:val="center"/>
        </w:tcPr>
        <w:p w14:paraId="0D8C6872" w14:textId="77777777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</w:p>
      </w:tc>
      <w:tc>
        <w:tcPr>
          <w:tcW w:w="1927" w:type="dxa"/>
          <w:vAlign w:val="center"/>
        </w:tcPr>
        <w:p w14:paraId="5E8F88CC" w14:textId="77777777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</w:p>
      </w:tc>
      <w:tc>
        <w:tcPr>
          <w:tcW w:w="1928" w:type="dxa"/>
          <w:vAlign w:val="center"/>
        </w:tcPr>
        <w:p w14:paraId="437FDA78" w14:textId="77777777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</w:p>
      </w:tc>
      <w:tc>
        <w:tcPr>
          <w:tcW w:w="1928" w:type="dxa"/>
          <w:vAlign w:val="center"/>
        </w:tcPr>
        <w:p w14:paraId="1AECF7B3" w14:textId="77777777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</w:p>
      </w:tc>
      <w:tc>
        <w:tcPr>
          <w:tcW w:w="1928" w:type="dxa"/>
          <w:vAlign w:val="center"/>
        </w:tcPr>
        <w:p w14:paraId="0FE75A28" w14:textId="77777777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</w:p>
      </w:tc>
    </w:tr>
    <w:tr w:rsidR="00355251" w14:paraId="6B50F15E" w14:textId="77777777" w:rsidTr="00F1634A">
      <w:tc>
        <w:tcPr>
          <w:tcW w:w="1927" w:type="dxa"/>
          <w:vAlign w:val="center"/>
        </w:tcPr>
        <w:p w14:paraId="21ED506A" w14:textId="7C65B3FD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JOHN W. ALTER</w:t>
          </w:r>
        </w:p>
      </w:tc>
      <w:tc>
        <w:tcPr>
          <w:tcW w:w="1927" w:type="dxa"/>
          <w:vAlign w:val="center"/>
        </w:tcPr>
        <w:p w14:paraId="2832B977" w14:textId="77545D40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GUS ANDREWS</w:t>
          </w:r>
        </w:p>
      </w:tc>
      <w:tc>
        <w:tcPr>
          <w:tcW w:w="1928" w:type="dxa"/>
          <w:vAlign w:val="center"/>
        </w:tcPr>
        <w:p w14:paraId="3D01E498" w14:textId="3E64A623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TED EVERETT</w:t>
          </w:r>
        </w:p>
      </w:tc>
      <w:tc>
        <w:tcPr>
          <w:tcW w:w="1928" w:type="dxa"/>
          <w:vAlign w:val="center"/>
        </w:tcPr>
        <w:p w14:paraId="0CAB774F" w14:textId="5164D372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KELLIE RALSTON</w:t>
          </w:r>
        </w:p>
      </w:tc>
      <w:tc>
        <w:tcPr>
          <w:tcW w:w="1928" w:type="dxa"/>
          <w:vAlign w:val="center"/>
        </w:tcPr>
        <w:p w14:paraId="290CCE3E" w14:textId="353D617F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ANNA UPTON</w:t>
          </w:r>
        </w:p>
      </w:tc>
    </w:tr>
    <w:tr w:rsidR="00355251" w14:paraId="7BFFA787" w14:textId="77777777" w:rsidTr="00F1634A">
      <w:tc>
        <w:tcPr>
          <w:tcW w:w="1927" w:type="dxa"/>
          <w:vAlign w:val="center"/>
        </w:tcPr>
        <w:p w14:paraId="1B48A2FB" w14:textId="02472999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Malone</w:t>
          </w:r>
        </w:p>
      </w:tc>
      <w:tc>
        <w:tcPr>
          <w:tcW w:w="1927" w:type="dxa"/>
          <w:vAlign w:val="center"/>
        </w:tcPr>
        <w:p w14:paraId="4CA1262A" w14:textId="63E03A8E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DeFuniak Springs</w:t>
          </w:r>
        </w:p>
      </w:tc>
      <w:tc>
        <w:tcPr>
          <w:tcW w:w="1928" w:type="dxa"/>
          <w:vAlign w:val="center"/>
        </w:tcPr>
        <w:p w14:paraId="5D41EED3" w14:textId="391FA12F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Chipley</w:t>
          </w:r>
        </w:p>
      </w:tc>
      <w:tc>
        <w:tcPr>
          <w:tcW w:w="1928" w:type="dxa"/>
          <w:vAlign w:val="center"/>
        </w:tcPr>
        <w:p w14:paraId="4573FF20" w14:textId="2F6D0F59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Tallahassee</w:t>
          </w:r>
        </w:p>
      </w:tc>
      <w:tc>
        <w:tcPr>
          <w:tcW w:w="1928" w:type="dxa"/>
          <w:vAlign w:val="center"/>
        </w:tcPr>
        <w:p w14:paraId="0E0F4CBD" w14:textId="31BA48A5" w:rsidR="00355251" w:rsidRPr="00F1634A" w:rsidRDefault="00355251" w:rsidP="00F1634A">
          <w:pPr>
            <w:pStyle w:val="Footer"/>
            <w:jc w:val="center"/>
            <w:rPr>
              <w:rFonts w:ascii="Georgia" w:hAnsi="Georgia"/>
              <w:sz w:val="16"/>
              <w:szCs w:val="16"/>
            </w:rPr>
          </w:pPr>
          <w:r w:rsidRPr="00F1634A">
            <w:rPr>
              <w:rFonts w:ascii="Georgia" w:hAnsi="Georgia"/>
              <w:sz w:val="16"/>
              <w:szCs w:val="16"/>
            </w:rPr>
            <w:t>Tallahassee</w:t>
          </w:r>
        </w:p>
      </w:tc>
    </w:tr>
  </w:tbl>
  <w:p w14:paraId="0B0F1724" w14:textId="2C5FB9F0" w:rsidR="00A26557" w:rsidRPr="00355251" w:rsidRDefault="00A26557" w:rsidP="00355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C35FB" w14:textId="77777777" w:rsidR="00E900A5" w:rsidRDefault="00E900A5">
      <w:r>
        <w:separator/>
      </w:r>
    </w:p>
  </w:footnote>
  <w:footnote w:type="continuationSeparator" w:id="0">
    <w:p w14:paraId="767053F1" w14:textId="77777777" w:rsidR="00E900A5" w:rsidRDefault="00E9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B014" w14:textId="77777777" w:rsidR="003041BE" w:rsidRPr="00DC5EB3" w:rsidRDefault="00DC5EB3" w:rsidP="003041BE">
    <w:pPr>
      <w:pStyle w:val="Header"/>
      <w:tabs>
        <w:tab w:val="clear" w:pos="4320"/>
        <w:tab w:val="left" w:pos="2250"/>
        <w:tab w:val="center" w:pos="2340"/>
        <w:tab w:val="left" w:pos="2880"/>
      </w:tabs>
      <w:rPr>
        <w:rFonts w:ascii="Georgia" w:hAnsi="Georgia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D5C618" wp14:editId="191D8580">
          <wp:simplePos x="0" y="0"/>
          <wp:positionH relativeFrom="column">
            <wp:posOffset>0</wp:posOffset>
          </wp:positionH>
          <wp:positionV relativeFrom="paragraph">
            <wp:posOffset>-45720</wp:posOffset>
          </wp:positionV>
          <wp:extent cx="1051560" cy="1051560"/>
          <wp:effectExtent l="0" t="0" r="0" b="0"/>
          <wp:wrapSquare wrapText="bothSides"/>
          <wp:docPr id="17" name="Picture 17" descr="\\ALPHA\folders\District_Logo\NWFWater_Logo_PNG_whit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LPHA\folders\District_Logo\NWFWater_Logo_PNG_whiteb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1BE">
      <w:rPr>
        <w:sz w:val="16"/>
      </w:rPr>
      <w:tab/>
    </w:r>
    <w:r w:rsidR="003041BE" w:rsidRPr="00DC5EB3">
      <w:rPr>
        <w:rFonts w:ascii="Georgia" w:hAnsi="Georgia"/>
        <w:sz w:val="16"/>
      </w:rPr>
      <w:tab/>
    </w:r>
    <w:r w:rsidR="003041BE" w:rsidRPr="00DC5EB3">
      <w:rPr>
        <w:rFonts w:ascii="Georgia" w:hAnsi="Georgia"/>
        <w:sz w:val="32"/>
        <w:szCs w:val="32"/>
      </w:rPr>
      <w:tab/>
    </w:r>
  </w:p>
  <w:p w14:paraId="43B99747" w14:textId="77777777" w:rsidR="003041BE" w:rsidRPr="00DC5EB3" w:rsidRDefault="003041BE" w:rsidP="003041BE">
    <w:pPr>
      <w:pStyle w:val="Header"/>
      <w:tabs>
        <w:tab w:val="clear" w:pos="4320"/>
        <w:tab w:val="left" w:pos="2250"/>
        <w:tab w:val="center" w:pos="2340"/>
      </w:tabs>
      <w:rPr>
        <w:rFonts w:ascii="Georgia" w:hAnsi="Georgia"/>
        <w:sz w:val="32"/>
        <w:szCs w:val="32"/>
      </w:rPr>
    </w:pPr>
    <w:r w:rsidRPr="00DC5EB3">
      <w:rPr>
        <w:rFonts w:ascii="Georgia" w:hAnsi="Georgia"/>
        <w:sz w:val="32"/>
        <w:szCs w:val="32"/>
      </w:rPr>
      <w:tab/>
    </w:r>
    <w:r w:rsidRPr="00DC5EB3">
      <w:rPr>
        <w:rFonts w:ascii="Georgia" w:hAnsi="Georgia"/>
        <w:sz w:val="32"/>
        <w:szCs w:val="32"/>
      </w:rPr>
      <w:tab/>
      <w:t xml:space="preserve"> Northwest Florida Water Management District</w:t>
    </w:r>
  </w:p>
  <w:p w14:paraId="41ED587B" w14:textId="77777777" w:rsidR="003041BE" w:rsidRPr="00DC5EB3" w:rsidRDefault="003041BE" w:rsidP="003041BE">
    <w:pPr>
      <w:pStyle w:val="Header"/>
      <w:tabs>
        <w:tab w:val="clear" w:pos="4320"/>
        <w:tab w:val="left" w:pos="2250"/>
        <w:tab w:val="center" w:pos="2340"/>
      </w:tabs>
      <w:rPr>
        <w:rFonts w:ascii="Georgia" w:hAnsi="Georgia"/>
        <w:sz w:val="6"/>
        <w:szCs w:val="6"/>
      </w:rPr>
    </w:pPr>
    <w:r w:rsidRPr="00DC5EB3">
      <w:rPr>
        <w:rFonts w:ascii="Georgia" w:hAnsi="Georgia"/>
        <w:sz w:val="24"/>
        <w:szCs w:val="24"/>
      </w:rPr>
      <w:tab/>
    </w:r>
  </w:p>
  <w:p w14:paraId="496850C8" w14:textId="77777777" w:rsidR="003041BE" w:rsidRPr="00DC5EB3" w:rsidRDefault="00DC5EB3" w:rsidP="003041BE">
    <w:pPr>
      <w:pStyle w:val="Header"/>
      <w:tabs>
        <w:tab w:val="clear" w:pos="4320"/>
        <w:tab w:val="left" w:pos="2250"/>
        <w:tab w:val="center" w:pos="2340"/>
      </w:tabs>
      <w:rPr>
        <w:rFonts w:ascii="Georgia" w:hAnsi="Georgia"/>
        <w:sz w:val="14"/>
        <w:szCs w:val="14"/>
      </w:rPr>
    </w:pPr>
    <w:r>
      <w:rPr>
        <w:rFonts w:ascii="Georgia" w:hAnsi="Georgia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973FDE" wp14:editId="7179DC3F">
              <wp:simplePos x="0" y="0"/>
              <wp:positionH relativeFrom="column">
                <wp:posOffset>1488440</wp:posOffset>
              </wp:positionH>
              <wp:positionV relativeFrom="paragraph">
                <wp:posOffset>12065</wp:posOffset>
              </wp:positionV>
              <wp:extent cx="4584700" cy="0"/>
              <wp:effectExtent l="0" t="0" r="0" b="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84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21D17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2pt,.95pt" to="478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" strokecolor="black [3213]"/>
          </w:pict>
        </mc:Fallback>
      </mc:AlternateContent>
    </w:r>
    <w:r w:rsidR="003041BE" w:rsidRPr="00DC5EB3">
      <w:rPr>
        <w:rFonts w:ascii="Georgia" w:hAnsi="Georgia"/>
        <w:sz w:val="24"/>
        <w:szCs w:val="24"/>
      </w:rPr>
      <w:tab/>
    </w:r>
  </w:p>
  <w:p w14:paraId="41EFEA4A" w14:textId="32211316" w:rsidR="003041BE" w:rsidRPr="00DC5EB3" w:rsidRDefault="003041BE" w:rsidP="003041BE">
    <w:pPr>
      <w:pStyle w:val="Header"/>
      <w:tabs>
        <w:tab w:val="clear" w:pos="4320"/>
        <w:tab w:val="left" w:pos="2160"/>
        <w:tab w:val="left" w:pos="2250"/>
        <w:tab w:val="left" w:pos="2340"/>
      </w:tabs>
      <w:rPr>
        <w:rFonts w:ascii="Georgia" w:hAnsi="Georgia"/>
        <w:sz w:val="26"/>
        <w:szCs w:val="26"/>
      </w:rPr>
    </w:pPr>
    <w:r w:rsidRPr="00DC5EB3">
      <w:rPr>
        <w:rFonts w:ascii="Georgia" w:hAnsi="Georgia"/>
        <w:sz w:val="24"/>
        <w:szCs w:val="24"/>
      </w:rPr>
      <w:tab/>
    </w:r>
    <w:r w:rsidRPr="00DC5EB3">
      <w:rPr>
        <w:rFonts w:ascii="Georgia" w:hAnsi="Georgia"/>
        <w:sz w:val="24"/>
        <w:szCs w:val="24"/>
      </w:rPr>
      <w:tab/>
      <w:t xml:space="preserve"> </w:t>
    </w:r>
    <w:r w:rsidR="00A26557">
      <w:rPr>
        <w:rFonts w:ascii="Georgia" w:hAnsi="Georgia"/>
        <w:sz w:val="26"/>
        <w:szCs w:val="26"/>
      </w:rPr>
      <w:t>81</w:t>
    </w:r>
    <w:r w:rsidRPr="00DC5EB3">
      <w:rPr>
        <w:rFonts w:ascii="Georgia" w:hAnsi="Georgia"/>
        <w:sz w:val="26"/>
        <w:szCs w:val="26"/>
      </w:rPr>
      <w:t xml:space="preserve"> Water Management Drive, Havana, Florida 32333-4712</w:t>
    </w:r>
  </w:p>
  <w:p w14:paraId="2BFBE65C" w14:textId="77777777" w:rsidR="003041BE" w:rsidRPr="00DC5EB3" w:rsidRDefault="003041BE" w:rsidP="003041BE">
    <w:pPr>
      <w:pStyle w:val="Header"/>
      <w:tabs>
        <w:tab w:val="clear" w:pos="4320"/>
        <w:tab w:val="left" w:pos="2250"/>
        <w:tab w:val="center" w:pos="2340"/>
      </w:tabs>
      <w:rPr>
        <w:rFonts w:ascii="Georgia" w:hAnsi="Georgia"/>
        <w:i/>
        <w:sz w:val="16"/>
        <w:szCs w:val="16"/>
      </w:rPr>
    </w:pPr>
    <w:r w:rsidRPr="00DC5EB3">
      <w:rPr>
        <w:rFonts w:ascii="Georgia" w:hAnsi="Georgia"/>
        <w:sz w:val="16"/>
        <w:szCs w:val="16"/>
      </w:rPr>
      <w:tab/>
      <w:t xml:space="preserve"> </w:t>
    </w:r>
    <w:r w:rsidRPr="00DC5EB3">
      <w:rPr>
        <w:rFonts w:ascii="Georgia" w:hAnsi="Georgia"/>
        <w:i/>
        <w:sz w:val="16"/>
        <w:szCs w:val="16"/>
      </w:rPr>
      <w:t>(U.S. Highway 90, 10 miles west of Tallahassee)</w:t>
    </w:r>
  </w:p>
  <w:p w14:paraId="79C12A37" w14:textId="77777777" w:rsidR="003041BE" w:rsidRPr="00DC5EB3" w:rsidRDefault="003041BE" w:rsidP="003041BE">
    <w:pPr>
      <w:pStyle w:val="Header"/>
      <w:tabs>
        <w:tab w:val="clear" w:pos="4320"/>
        <w:tab w:val="clear" w:pos="8640"/>
        <w:tab w:val="left" w:pos="2250"/>
        <w:tab w:val="center" w:pos="2340"/>
        <w:tab w:val="left" w:pos="2970"/>
        <w:tab w:val="left" w:pos="5200"/>
      </w:tabs>
      <w:rPr>
        <w:rFonts w:ascii="Georgia" w:hAnsi="Georgia"/>
        <w:sz w:val="16"/>
        <w:szCs w:val="16"/>
      </w:rPr>
    </w:pPr>
    <w:r w:rsidRPr="00DC5EB3">
      <w:rPr>
        <w:rFonts w:ascii="Georgia" w:hAnsi="Georgia"/>
        <w:sz w:val="24"/>
        <w:szCs w:val="24"/>
      </w:rPr>
      <w:tab/>
    </w:r>
    <w:r w:rsidRPr="00DC5EB3">
      <w:rPr>
        <w:rFonts w:ascii="Georgia" w:hAnsi="Georgia"/>
        <w:sz w:val="24"/>
        <w:szCs w:val="24"/>
      </w:rPr>
      <w:tab/>
    </w:r>
    <w:r w:rsidRPr="00DC5EB3">
      <w:rPr>
        <w:rFonts w:ascii="Georgia" w:hAnsi="Georgia"/>
        <w:sz w:val="24"/>
        <w:szCs w:val="24"/>
      </w:rPr>
      <w:tab/>
    </w:r>
    <w:r w:rsidRPr="00DC5EB3">
      <w:rPr>
        <w:rFonts w:ascii="Georgia" w:hAnsi="Georgia"/>
        <w:sz w:val="24"/>
        <w:szCs w:val="24"/>
      </w:rPr>
      <w:tab/>
    </w:r>
  </w:p>
  <w:p w14:paraId="027D752C" w14:textId="30FD865C" w:rsidR="003041BE" w:rsidRPr="00DC5EB3" w:rsidRDefault="00211B07" w:rsidP="003041BE">
    <w:pPr>
      <w:pStyle w:val="Header"/>
      <w:tabs>
        <w:tab w:val="clear" w:pos="4320"/>
        <w:tab w:val="left" w:pos="270"/>
        <w:tab w:val="left" w:pos="2250"/>
        <w:tab w:val="center" w:pos="2340"/>
      </w:tabs>
      <w:rPr>
        <w:rFonts w:ascii="Georgia" w:hAnsi="Georgia"/>
        <w:sz w:val="24"/>
        <w:szCs w:val="24"/>
      </w:rPr>
    </w:pPr>
    <w:r>
      <w:rPr>
        <w:rFonts w:ascii="Georgia" w:hAnsi="Georgia"/>
        <w:sz w:val="18"/>
        <w:szCs w:val="18"/>
      </w:rPr>
      <w:t xml:space="preserve">     </w:t>
    </w:r>
    <w:r w:rsidR="00355251">
      <w:rPr>
        <w:rFonts w:ascii="Georgia" w:hAnsi="Georgia"/>
        <w:sz w:val="18"/>
        <w:szCs w:val="18"/>
      </w:rPr>
      <w:t xml:space="preserve">    Lyle Seigler</w:t>
    </w:r>
    <w:r w:rsidR="003041BE" w:rsidRPr="00DC5EB3">
      <w:rPr>
        <w:rFonts w:ascii="Georgia" w:hAnsi="Georgia"/>
        <w:sz w:val="24"/>
        <w:szCs w:val="24"/>
      </w:rPr>
      <w:tab/>
    </w:r>
    <w:r w:rsidR="003041BE" w:rsidRPr="00DC5EB3">
      <w:rPr>
        <w:rFonts w:ascii="Georgia" w:hAnsi="Georgia"/>
        <w:sz w:val="24"/>
        <w:szCs w:val="24"/>
      </w:rPr>
      <w:tab/>
      <w:t xml:space="preserve"> </w:t>
    </w:r>
    <w:r w:rsidR="008341C8" w:rsidRPr="00DC5EB3">
      <w:rPr>
        <w:rFonts w:ascii="Georgia" w:hAnsi="Georgia"/>
        <w:sz w:val="24"/>
        <w:szCs w:val="24"/>
      </w:rPr>
      <w:t xml:space="preserve">Phone: </w:t>
    </w:r>
    <w:r w:rsidR="003041BE" w:rsidRPr="00DC5EB3">
      <w:rPr>
        <w:rFonts w:ascii="Georgia" w:hAnsi="Georgia"/>
        <w:sz w:val="24"/>
        <w:szCs w:val="24"/>
      </w:rPr>
      <w:t>(85</w:t>
    </w:r>
    <w:r w:rsidR="004821B9" w:rsidRPr="00DC5EB3">
      <w:rPr>
        <w:rFonts w:ascii="Georgia" w:hAnsi="Georgia"/>
        <w:sz w:val="24"/>
        <w:szCs w:val="24"/>
      </w:rPr>
      <w:t xml:space="preserve">0) 539-5999   •   </w:t>
    </w:r>
    <w:r w:rsidR="008341C8" w:rsidRPr="00DC5EB3">
      <w:rPr>
        <w:rFonts w:ascii="Georgia" w:hAnsi="Georgia"/>
        <w:sz w:val="24"/>
        <w:szCs w:val="24"/>
      </w:rPr>
      <w:t xml:space="preserve">Fax: </w:t>
    </w:r>
    <w:r w:rsidR="004821B9" w:rsidRPr="00DC5EB3">
      <w:rPr>
        <w:rFonts w:ascii="Georgia" w:hAnsi="Georgia"/>
        <w:sz w:val="24"/>
        <w:szCs w:val="24"/>
      </w:rPr>
      <w:t>(</w:t>
    </w:r>
    <w:r w:rsidR="008341C8" w:rsidRPr="00DC5EB3">
      <w:rPr>
        <w:rFonts w:ascii="Georgia" w:hAnsi="Georgia"/>
        <w:sz w:val="24"/>
        <w:szCs w:val="24"/>
      </w:rPr>
      <w:t>850</w:t>
    </w:r>
    <w:r w:rsidR="004821B9" w:rsidRPr="00DC5EB3">
      <w:rPr>
        <w:rFonts w:ascii="Georgia" w:hAnsi="Georgia"/>
        <w:sz w:val="24"/>
        <w:szCs w:val="24"/>
      </w:rPr>
      <w:t>) 539-2</w:t>
    </w:r>
    <w:r w:rsidR="00A26557">
      <w:rPr>
        <w:rFonts w:ascii="Georgia" w:hAnsi="Georgia"/>
        <w:sz w:val="24"/>
        <w:szCs w:val="24"/>
      </w:rPr>
      <w:t>777</w:t>
    </w:r>
  </w:p>
  <w:p w14:paraId="2204CFC2" w14:textId="77777777" w:rsidR="003041BE" w:rsidRPr="00DC5EB3" w:rsidRDefault="00211B07" w:rsidP="003041BE">
    <w:pPr>
      <w:pStyle w:val="Header"/>
      <w:tabs>
        <w:tab w:val="clear" w:pos="4320"/>
        <w:tab w:val="left" w:pos="90"/>
        <w:tab w:val="left" w:pos="2250"/>
        <w:tab w:val="center" w:pos="2340"/>
      </w:tabs>
      <w:rPr>
        <w:rFonts w:ascii="Georgia" w:hAnsi="Georgia"/>
        <w:sz w:val="16"/>
        <w:szCs w:val="16"/>
      </w:rPr>
    </w:pPr>
    <w:r>
      <w:rPr>
        <w:rFonts w:ascii="Georgia" w:hAnsi="Georgia"/>
        <w:i/>
        <w:sz w:val="18"/>
        <w:szCs w:val="18"/>
      </w:rPr>
      <w:tab/>
    </w:r>
    <w:r w:rsidR="003041BE" w:rsidRPr="00DC5EB3">
      <w:rPr>
        <w:rFonts w:ascii="Georgia" w:hAnsi="Georgia"/>
        <w:i/>
        <w:sz w:val="18"/>
        <w:szCs w:val="18"/>
      </w:rPr>
      <w:t>Executive Director</w:t>
    </w:r>
  </w:p>
  <w:p w14:paraId="2DA316DA" w14:textId="77777777" w:rsidR="00244181" w:rsidRDefault="00244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13A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D607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D4673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6316571">
    <w:abstractNumId w:val="1"/>
  </w:num>
  <w:num w:numId="2" w16cid:durableId="2058964060">
    <w:abstractNumId w:val="2"/>
  </w:num>
  <w:num w:numId="3" w16cid:durableId="83627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40"/>
    <w:rsid w:val="00001092"/>
    <w:rsid w:val="00003679"/>
    <w:rsid w:val="0005622A"/>
    <w:rsid w:val="00073777"/>
    <w:rsid w:val="00081093"/>
    <w:rsid w:val="000B3908"/>
    <w:rsid w:val="001426EF"/>
    <w:rsid w:val="00172B91"/>
    <w:rsid w:val="00173B09"/>
    <w:rsid w:val="0017617F"/>
    <w:rsid w:val="00182770"/>
    <w:rsid w:val="00185250"/>
    <w:rsid w:val="001A51C8"/>
    <w:rsid w:val="001A6123"/>
    <w:rsid w:val="001B7950"/>
    <w:rsid w:val="001C717C"/>
    <w:rsid w:val="001E3CF6"/>
    <w:rsid w:val="001E5D5A"/>
    <w:rsid w:val="001F60A8"/>
    <w:rsid w:val="00211B07"/>
    <w:rsid w:val="00240B0F"/>
    <w:rsid w:val="00244181"/>
    <w:rsid w:val="002812CC"/>
    <w:rsid w:val="002A09CF"/>
    <w:rsid w:val="002C2712"/>
    <w:rsid w:val="002D2082"/>
    <w:rsid w:val="002F2C11"/>
    <w:rsid w:val="003041BE"/>
    <w:rsid w:val="00325D67"/>
    <w:rsid w:val="00355251"/>
    <w:rsid w:val="00370708"/>
    <w:rsid w:val="00372346"/>
    <w:rsid w:val="003E7BC5"/>
    <w:rsid w:val="003F0729"/>
    <w:rsid w:val="00414752"/>
    <w:rsid w:val="004170F4"/>
    <w:rsid w:val="00456C03"/>
    <w:rsid w:val="00466D5A"/>
    <w:rsid w:val="004821B9"/>
    <w:rsid w:val="00492865"/>
    <w:rsid w:val="004A63DD"/>
    <w:rsid w:val="004B4EBD"/>
    <w:rsid w:val="004F779E"/>
    <w:rsid w:val="00515688"/>
    <w:rsid w:val="00527BD5"/>
    <w:rsid w:val="00533040"/>
    <w:rsid w:val="005359E3"/>
    <w:rsid w:val="005403C1"/>
    <w:rsid w:val="00553C39"/>
    <w:rsid w:val="00556479"/>
    <w:rsid w:val="005622C0"/>
    <w:rsid w:val="005701F6"/>
    <w:rsid w:val="00595722"/>
    <w:rsid w:val="005B6024"/>
    <w:rsid w:val="005B75DB"/>
    <w:rsid w:val="005B7FB3"/>
    <w:rsid w:val="005C45B5"/>
    <w:rsid w:val="005F15B6"/>
    <w:rsid w:val="00607D51"/>
    <w:rsid w:val="006262B1"/>
    <w:rsid w:val="006307E6"/>
    <w:rsid w:val="00665648"/>
    <w:rsid w:val="00666F9A"/>
    <w:rsid w:val="006B2229"/>
    <w:rsid w:val="007071A1"/>
    <w:rsid w:val="00711F13"/>
    <w:rsid w:val="007170C6"/>
    <w:rsid w:val="00757A0F"/>
    <w:rsid w:val="00793508"/>
    <w:rsid w:val="007A5651"/>
    <w:rsid w:val="007B0CFE"/>
    <w:rsid w:val="007C0EBC"/>
    <w:rsid w:val="007F6D4F"/>
    <w:rsid w:val="00807BC9"/>
    <w:rsid w:val="00811E29"/>
    <w:rsid w:val="008318B5"/>
    <w:rsid w:val="008341C8"/>
    <w:rsid w:val="00844EE8"/>
    <w:rsid w:val="00846059"/>
    <w:rsid w:val="008971A7"/>
    <w:rsid w:val="008A2895"/>
    <w:rsid w:val="008B26E8"/>
    <w:rsid w:val="008C038F"/>
    <w:rsid w:val="008D34F6"/>
    <w:rsid w:val="008E6018"/>
    <w:rsid w:val="00913E52"/>
    <w:rsid w:val="009C7BAF"/>
    <w:rsid w:val="00A0289F"/>
    <w:rsid w:val="00A14B23"/>
    <w:rsid w:val="00A23392"/>
    <w:rsid w:val="00A26557"/>
    <w:rsid w:val="00A43412"/>
    <w:rsid w:val="00A53666"/>
    <w:rsid w:val="00A55371"/>
    <w:rsid w:val="00A85197"/>
    <w:rsid w:val="00AB509C"/>
    <w:rsid w:val="00AC0670"/>
    <w:rsid w:val="00AE0C6C"/>
    <w:rsid w:val="00B06622"/>
    <w:rsid w:val="00B51F3C"/>
    <w:rsid w:val="00B95CFE"/>
    <w:rsid w:val="00BA28C0"/>
    <w:rsid w:val="00BB56AE"/>
    <w:rsid w:val="00BB752F"/>
    <w:rsid w:val="00BC24F9"/>
    <w:rsid w:val="00BC763F"/>
    <w:rsid w:val="00BE0E7F"/>
    <w:rsid w:val="00C020A8"/>
    <w:rsid w:val="00C51AFE"/>
    <w:rsid w:val="00C7704B"/>
    <w:rsid w:val="00CB23C5"/>
    <w:rsid w:val="00CC6B11"/>
    <w:rsid w:val="00CE058D"/>
    <w:rsid w:val="00D214EC"/>
    <w:rsid w:val="00D5391D"/>
    <w:rsid w:val="00D67E71"/>
    <w:rsid w:val="00DA0504"/>
    <w:rsid w:val="00DA6023"/>
    <w:rsid w:val="00DB6A1B"/>
    <w:rsid w:val="00DC0C33"/>
    <w:rsid w:val="00DC5EB3"/>
    <w:rsid w:val="00DE6FD6"/>
    <w:rsid w:val="00DE74CF"/>
    <w:rsid w:val="00E46A7E"/>
    <w:rsid w:val="00E900A5"/>
    <w:rsid w:val="00EB1AEF"/>
    <w:rsid w:val="00EC12A5"/>
    <w:rsid w:val="00F02428"/>
    <w:rsid w:val="00F1634A"/>
    <w:rsid w:val="00F70C0F"/>
    <w:rsid w:val="00F74179"/>
    <w:rsid w:val="00FC142F"/>
    <w:rsid w:val="00FE41C0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86D6E"/>
  <w15:docId w15:val="{F58B2CAC-937D-4328-8963-92332E6F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1A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71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071A1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rsid w:val="007071A1"/>
    <w:pPr>
      <w:widowControl w:val="0"/>
    </w:pPr>
    <w:rPr>
      <w:rFonts w:ascii="Courier New" w:hAnsi="Courier New"/>
      <w:snapToGrid w:val="0"/>
      <w:sz w:val="24"/>
    </w:rPr>
  </w:style>
  <w:style w:type="paragraph" w:styleId="Date">
    <w:name w:val="Date"/>
    <w:basedOn w:val="Normal"/>
    <w:next w:val="Normal"/>
    <w:rsid w:val="007071A1"/>
    <w:pPr>
      <w:widowControl w:val="0"/>
    </w:pPr>
    <w:rPr>
      <w:rFonts w:ascii="Courier New" w:hAnsi="Courier New"/>
      <w:snapToGrid w:val="0"/>
      <w:sz w:val="24"/>
    </w:rPr>
  </w:style>
  <w:style w:type="paragraph" w:customStyle="1" w:styleId="InsideAddress">
    <w:name w:val="Inside Address"/>
    <w:basedOn w:val="Normal"/>
    <w:rsid w:val="007071A1"/>
    <w:pPr>
      <w:widowControl w:val="0"/>
    </w:pPr>
    <w:rPr>
      <w:rFonts w:ascii="Courier New" w:hAnsi="Courier New"/>
      <w:snapToGrid w:val="0"/>
      <w:sz w:val="24"/>
    </w:rPr>
  </w:style>
  <w:style w:type="paragraph" w:styleId="BodyTextIndent">
    <w:name w:val="Body Text Indent"/>
    <w:basedOn w:val="Normal"/>
    <w:rsid w:val="007071A1"/>
    <w:pPr>
      <w:ind w:left="1080" w:hanging="108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8519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A23392"/>
    <w:rPr>
      <w:rFonts w:ascii="Arial" w:hAnsi="Arial"/>
    </w:rPr>
  </w:style>
  <w:style w:type="table" w:styleId="TableGrid">
    <w:name w:val="Table Grid"/>
    <w:basedOn w:val="TableNormal"/>
    <w:rsid w:val="00355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B56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620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eg.state.fl.us/statutes/index.cfm?App_mode=Display_Statute&amp;Search_String=&amp;URL=0100-0199/0120/Sections/0120.569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leg.state.fl.us/statutes/index.cfm?App_mode=Display_Statute&amp;Search_String=&amp;URL=0100-0199/0120/Sections/0120.573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loridabar.org/wp-content/uploads/2017/10/Appellate-Court-Rules-10-01-17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lrules.org/gateway/RuleNo.asp?title=DECISIONS%20DETERMINING%20SUBSTANTIAL%20INTERESTS&amp;ID=28-106.201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eg.state.fl.us/statutes/index.cfm?App_mode=Display_Statute&amp;Search_String=&amp;URL=0100-0199/0120/Sections/0120.68.html" TargetMode="External"/><Relationship Id="rId10" Type="http://schemas.openxmlformats.org/officeDocument/2006/relationships/hyperlink" Target="http://www.nwfwater.com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eg.state.fl.us/statutes/index.cfm?App_mode=Display_Statute&amp;Search_String=&amp;URL=0100-0199/0120/Sections/0120.5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8EA2E82DEF34AA10F69A241EE75E4" ma:contentTypeVersion="0" ma:contentTypeDescription="Create a new document." ma:contentTypeScope="" ma:versionID="fac9e614864a98aee6bb92e67fbc0f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4A26C-E64C-4B18-82BA-95306D1C7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158EB-7199-42FE-BBCB-AD2E2E391B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4C7A20-EBBA-41ED-8919-BABE44658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11, 2007</vt:lpstr>
    </vt:vector>
  </TitlesOfParts>
  <Company>NC DWQ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11, 2007</dc:title>
  <dc:creator>Jim Lamar</dc:creator>
  <cp:lastModifiedBy>Kathleen Coates</cp:lastModifiedBy>
  <cp:revision>2</cp:revision>
  <cp:lastPrinted>2006-04-21T13:52:00Z</cp:lastPrinted>
  <dcterms:created xsi:type="dcterms:W3CDTF">2025-01-21T15:49:00Z</dcterms:created>
  <dcterms:modified xsi:type="dcterms:W3CDTF">2025-01-21T15:49:00Z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0x010100FA78EA2E82DEF34AA10F69A241EE75E4</vt:lpwstr>
  </property>
</Properties>
</file>